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1417BC">
        <w:t>1</w:t>
      </w:r>
      <w:r w:rsidR="00030865" w:rsidRPr="00A85F3F">
        <w:t xml:space="preserve"> m. </w:t>
      </w:r>
      <w:r w:rsidR="00CB58D4">
        <w:t>rugsėj</w:t>
      </w:r>
      <w:r w:rsidR="00A60F18">
        <w:t>o</w:t>
      </w:r>
      <w:r w:rsidR="00225A43">
        <w:t xml:space="preserve"> 3</w:t>
      </w:r>
      <w:r w:rsidR="006974DF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 </w:t>
      </w:r>
      <w:r w:rsidR="00A60F18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A60F18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 2)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1417BC">
        <w:rPr>
          <w:rFonts w:cs="Arial"/>
          <w:bCs/>
        </w:rPr>
        <w:t>9</w:t>
      </w:r>
      <w:r w:rsidR="00CB4281">
        <w:rPr>
          <w:rFonts w:cs="Arial"/>
          <w:bCs/>
        </w:rPr>
        <w:t>1</w:t>
      </w:r>
      <w:r w:rsidR="00E84FAE">
        <w:rPr>
          <w:rFonts w:cs="Arial"/>
          <w:bCs/>
        </w:rPr>
        <w:t>,4</w:t>
      </w:r>
      <w:r w:rsidR="001417BC">
        <w:rPr>
          <w:rFonts w:cs="Arial"/>
          <w:bCs/>
        </w:rPr>
        <w:t>1</w:t>
      </w:r>
      <w:r>
        <w:rPr>
          <w:rFonts w:cs="Arial"/>
          <w:bCs/>
        </w:rPr>
        <w:t xml:space="preserve"> eurų.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3) Valstybės biudžeto lėšos (projek</w:t>
      </w:r>
      <w:r w:rsidR="00CB4281">
        <w:rPr>
          <w:rFonts w:cs="Arial"/>
          <w:bCs/>
        </w:rPr>
        <w:t>t</w:t>
      </w:r>
      <w:r w:rsidR="00CB58D4">
        <w:rPr>
          <w:rFonts w:cs="Arial"/>
          <w:bCs/>
        </w:rPr>
        <w:t>.lėšos)  – 95</w:t>
      </w:r>
      <w:bookmarkStart w:id="0" w:name="_GoBack"/>
      <w:bookmarkEnd w:id="0"/>
      <w:r>
        <w:rPr>
          <w:rFonts w:cs="Arial"/>
          <w:bCs/>
        </w:rPr>
        <w:t>00,00 eurų.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10" w:rsidRDefault="007A3A10">
      <w:r>
        <w:separator/>
      </w:r>
    </w:p>
  </w:endnote>
  <w:endnote w:type="continuationSeparator" w:id="0">
    <w:p w:rsidR="007A3A10" w:rsidRDefault="007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10" w:rsidRDefault="007A3A10">
      <w:r>
        <w:separator/>
      </w:r>
    </w:p>
  </w:footnote>
  <w:footnote w:type="continuationSeparator" w:id="0">
    <w:p w:rsidR="007A3A10" w:rsidRDefault="007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7000B3"/>
    <w:rsid w:val="00722388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2021-10-14T13:39:00Z</dcterms:created>
  <dcterms:modified xsi:type="dcterms:W3CDTF">2021-10-14T13:39:00Z</dcterms:modified>
</cp:coreProperties>
</file>